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Peaks present in both replicates were obtained from each timepoint and used for further analysis. Overlapping peaks were identified as those having at least 1 basepair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similarily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9A9C56F" w14:textId="14FEEB06" w:rsidR="00C0135E" w:rsidRDefault="00C0135E" w:rsidP="00C0135E">
      <w:pPr>
        <w:spacing w:line="480" w:lineRule="auto"/>
        <w:rPr>
          <w:b/>
        </w:rPr>
      </w:pPr>
      <w:r>
        <w:rPr>
          <w:b/>
        </w:rPr>
        <w:lastRenderedPageBreak/>
        <w:t>Figure 2-5</w:t>
      </w:r>
      <w:r>
        <w:rPr>
          <w:b/>
        </w:rPr>
        <w:t xml:space="preserve">.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4107FD21" w14:textId="7BCAB029" w:rsidR="00C0135E" w:rsidRDefault="00C0135E" w:rsidP="00C0135E">
      <w:pPr>
        <w:rPr>
          <w:b/>
        </w:rPr>
      </w:pPr>
      <w:r>
        <w:lastRenderedPageBreak/>
        <w:t>Fig. 2-5</w:t>
      </w:r>
      <w:r>
        <w:rPr>
          <w:b/>
          <w:noProof/>
        </w:rPr>
        <w:drawing>
          <wp:inline distT="0" distB="0" distL="0" distR="0" wp14:anchorId="6A86B19A" wp14:editId="4C586040">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Pr>
          <w:b/>
        </w:rPr>
        <w:br w:type="page"/>
      </w:r>
    </w:p>
    <w:p w14:paraId="17E8633D" w14:textId="6E74B361" w:rsidR="00FB3A61" w:rsidRDefault="00C0135E" w:rsidP="00FB3A61">
      <w:pPr>
        <w:pStyle w:val="BodyText"/>
        <w:spacing w:line="480" w:lineRule="auto"/>
      </w:pPr>
      <w:r>
        <w:rPr>
          <w:b/>
        </w:rPr>
        <w:lastRenderedPageBreak/>
        <w:t>Figure 2-6</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761FD4B1" w:rsidR="00BA3CC7" w:rsidRDefault="00DE3BBE" w:rsidP="00DE3BBE">
      <w:pPr>
        <w:pStyle w:val="BodyText"/>
        <w:spacing w:line="480" w:lineRule="auto"/>
        <w:outlineLvl w:val="0"/>
      </w:pPr>
      <w:r>
        <w:br w:type="page"/>
      </w:r>
      <w:r w:rsidR="00C0135E">
        <w:lastRenderedPageBreak/>
        <w:t>Fig. 2-6</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7CF4768" w14:textId="1D321F6A" w:rsidR="00C0135E" w:rsidRDefault="00C0135E" w:rsidP="00C0135E">
      <w:pPr>
        <w:spacing w:line="480" w:lineRule="auto"/>
      </w:pPr>
      <w:r>
        <w:rPr>
          <w:b/>
        </w:rPr>
        <w:lastRenderedPageBreak/>
        <w:t>Figure 2-7</w:t>
      </w:r>
      <w:r>
        <w:rPr>
          <w:b/>
        </w:rPr>
        <w:t xml:space="preserve">.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25F3450A" w14:textId="41B6644C" w:rsidR="00C0135E" w:rsidRDefault="00C0135E" w:rsidP="00C0135E">
      <w:pPr>
        <w:pStyle w:val="BodyText"/>
        <w:spacing w:line="480" w:lineRule="auto"/>
      </w:pPr>
      <w:r>
        <w:lastRenderedPageBreak/>
        <w:t>Fig. 2-7</w:t>
      </w:r>
      <w:r>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39A3BA94" w14:textId="6592F683" w:rsidR="00060C27" w:rsidRPr="005349C8" w:rsidRDefault="00E54A2F" w:rsidP="00510B86">
      <w:pPr>
        <w:pStyle w:val="BodyText"/>
        <w:spacing w:line="480" w:lineRule="auto"/>
      </w:pPr>
      <w:r>
        <w:rPr>
          <w:b/>
        </w:rPr>
        <w:lastRenderedPageBreak/>
        <w:t xml:space="preserve">Figure </w:t>
      </w:r>
      <w:r w:rsidR="00C0135E">
        <w:rPr>
          <w:b/>
        </w:rPr>
        <w:t>2-8</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Overlap of Groucho-associated genes rev</w:t>
      </w:r>
      <w:r w:rsidR="00ED1AF8">
        <w:t>e</w:t>
      </w:r>
      <w:r w:rsidR="005349C8">
        <w:t xml:space="preserve">als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13E4EED9" w:rsidR="00060C27" w:rsidRDefault="00DE3BBE" w:rsidP="00DE3BBE">
      <w:pPr>
        <w:pStyle w:val="BodyText"/>
        <w:spacing w:line="480" w:lineRule="auto"/>
        <w:outlineLvl w:val="0"/>
      </w:pPr>
      <w:r>
        <w:br w:type="page"/>
      </w:r>
      <w:r w:rsidR="00C0135E">
        <w:lastRenderedPageBreak/>
        <w:t>Fig. 2-8</w:t>
      </w:r>
      <w:r w:rsidR="00BA507F">
        <w:rPr>
          <w:noProof/>
        </w:rPr>
        <w:drawing>
          <wp:inline distT="0" distB="0" distL="0" distR="0" wp14:anchorId="530C9A7C" wp14:editId="5A00F2D5">
            <wp:extent cx="5937250" cy="7687310"/>
            <wp:effectExtent l="0" t="0" r="0" b="0"/>
            <wp:docPr id="8" name="Picture 8"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7.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74229413" w14:textId="687859C5" w:rsidR="00FB3A61" w:rsidRDefault="00C0135E" w:rsidP="00FB3A61">
      <w:pPr>
        <w:pStyle w:val="BodyText"/>
        <w:spacing w:line="480" w:lineRule="auto"/>
      </w:pPr>
      <w:r>
        <w:rPr>
          <w:b/>
        </w:rPr>
        <w:lastRenderedPageBreak/>
        <w:t>Figure 2-9</w:t>
      </w:r>
      <w:r w:rsidR="00FB3A61">
        <w:rPr>
          <w:b/>
        </w:rPr>
        <w:t>. Average Groucho peak widths suggest spreading i</w:t>
      </w:r>
      <w:r w:rsidR="00BA507F">
        <w:rPr>
          <w:b/>
        </w:rPr>
        <w:t>s a</w:t>
      </w:r>
      <w:r w:rsidR="00FB3A61">
        <w:rPr>
          <w:b/>
        </w:rPr>
        <w:t xml:space="preserve"> limited phenomenon.</w:t>
      </w:r>
      <w:r w:rsidR="00FB3A61">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0E2F0488" w:rsidR="00FB3A61" w:rsidRDefault="00DE3BBE" w:rsidP="00FB3A61">
      <w:pPr>
        <w:pStyle w:val="BodyText"/>
        <w:spacing w:line="480" w:lineRule="auto"/>
      </w:pPr>
      <w:r>
        <w:br w:type="page"/>
      </w:r>
      <w:r w:rsidR="00C0135E">
        <w:lastRenderedPageBreak/>
        <w:t>Fig. 2-9</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F1BF0B" w14:textId="320F2E89" w:rsidR="00060C27" w:rsidRDefault="00C0135E" w:rsidP="00510B86">
      <w:pPr>
        <w:pStyle w:val="BodyText"/>
        <w:spacing w:line="480" w:lineRule="auto"/>
      </w:pPr>
      <w:r>
        <w:rPr>
          <w:b/>
        </w:rPr>
        <w:lastRenderedPageBreak/>
        <w:t>Figure 2-10</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( 0 – 500 bp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3EF05454" w:rsidR="00060C27" w:rsidRDefault="00DE3BBE" w:rsidP="00DE3BBE">
      <w:pPr>
        <w:pStyle w:val="BodyText"/>
        <w:spacing w:line="480" w:lineRule="auto"/>
        <w:outlineLvl w:val="0"/>
      </w:pPr>
      <w:r>
        <w:br w:type="page"/>
      </w:r>
      <w:r w:rsidR="00F27AAC">
        <w:lastRenderedPageBreak/>
        <w:t>Fig. 2</w:t>
      </w:r>
      <w:r w:rsidR="00C0135E">
        <w:t>-10</w:t>
      </w:r>
      <w:r w:rsidR="00BA507F">
        <w:rPr>
          <w:noProof/>
        </w:rPr>
        <w:drawing>
          <wp:inline distT="0" distB="0" distL="0" distR="0" wp14:anchorId="6E3B2A2C" wp14:editId="372803F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rsidR="00F27AAC">
        <w:t xml:space="preserve"> </w:t>
      </w:r>
      <w:r>
        <w:br w:type="page"/>
      </w:r>
    </w:p>
    <w:p w14:paraId="1174B1C8" w14:textId="3D77A6B3" w:rsidR="00060C27" w:rsidRDefault="00C0135E" w:rsidP="00510B86">
      <w:pPr>
        <w:pStyle w:val="BodyText"/>
        <w:spacing w:line="480" w:lineRule="auto"/>
      </w:pPr>
      <w:r>
        <w:rPr>
          <w:b/>
        </w:rPr>
        <w:lastRenderedPageBreak/>
        <w:t>Figure 2-11</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4C43437A" w:rsidR="00060C27" w:rsidRDefault="00DE3BBE" w:rsidP="00DE3BBE">
      <w:pPr>
        <w:pStyle w:val="BodyText"/>
        <w:spacing w:line="480" w:lineRule="auto"/>
        <w:outlineLvl w:val="0"/>
      </w:pPr>
      <w:r>
        <w:br w:type="page"/>
      </w:r>
      <w:r w:rsidR="00C0135E">
        <w:lastRenderedPageBreak/>
        <w:t>Fig. 2-11</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1DD9C75C" w:rsidR="00DB1950" w:rsidRPr="006B77BB" w:rsidRDefault="00C0135E" w:rsidP="00510B86">
      <w:pPr>
        <w:pStyle w:val="BodyText"/>
        <w:spacing w:line="480" w:lineRule="auto"/>
      </w:pPr>
      <w:r>
        <w:rPr>
          <w:b/>
        </w:rPr>
        <w:lastRenderedPageBreak/>
        <w:t>Figure 2-12</w:t>
      </w:r>
      <w:r w:rsidR="00FB3A61">
        <w:rPr>
          <w:b/>
        </w:rPr>
        <w:t>.</w:t>
      </w:r>
      <w:r w:rsidR="00DB1950">
        <w:rPr>
          <w:b/>
        </w:rPr>
        <w:t xml:space="preserve"> Motif analysis of Groucho peaks in intergenic and genic regions reveals </w:t>
      </w:r>
      <w:r w:rsidR="006B77BB">
        <w:rPr>
          <w:b/>
        </w:rPr>
        <w:t xml:space="preserve">differential enrichment of coregulators by developmental stage. </w:t>
      </w:r>
      <w:r w:rsidR="006B77BB">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2F7182A7" w14:textId="129A5A2E" w:rsidR="006B77BB" w:rsidRDefault="00DE3BBE" w:rsidP="00DE3BBE">
      <w:pPr>
        <w:pStyle w:val="BodyText"/>
        <w:spacing w:line="480" w:lineRule="auto"/>
        <w:outlineLvl w:val="0"/>
      </w:pPr>
      <w:r>
        <w:br w:type="page"/>
      </w:r>
      <w:r w:rsidR="00C0135E">
        <w:lastRenderedPageBreak/>
        <w:t>Fig. 2-12</w:t>
      </w:r>
      <w:r w:rsidR="00BA507F">
        <w:rPr>
          <w:noProof/>
        </w:rPr>
        <w:drawing>
          <wp:inline distT="0" distB="0" distL="0" distR="0" wp14:anchorId="3C21D5A8" wp14:editId="6F1DD1E7">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32BDE9CC" w14:textId="259676E4" w:rsidR="0004659D" w:rsidRDefault="00C0135E" w:rsidP="00B6419D">
      <w:pPr>
        <w:spacing w:line="480" w:lineRule="auto"/>
        <w:rPr>
          <w:b/>
        </w:rPr>
      </w:pPr>
      <w:r>
        <w:rPr>
          <w:b/>
        </w:rPr>
        <w:lastRenderedPageBreak/>
        <w:t>Figure 2-13</w:t>
      </w:r>
      <w:r w:rsidR="0004659D">
        <w:rPr>
          <w:b/>
        </w:rPr>
        <w:t xml:space="preserve">. </w:t>
      </w:r>
      <w:r w:rsidR="00B6419D">
        <w:rPr>
          <w:b/>
        </w:rPr>
        <w:t xml:space="preserve">Over half of Groucho localizes to highly-occupied target (HOT) regions at all time windows assayed. </w:t>
      </w:r>
      <w:r w:rsidR="00B6419D">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bookmarkStart w:id="0" w:name="_GoBack"/>
      <w:bookmarkEnd w:id="0"/>
      <w:r w:rsidR="0004659D">
        <w:rPr>
          <w:b/>
        </w:rPr>
        <w:br w:type="page"/>
      </w:r>
    </w:p>
    <w:p w14:paraId="4CE923BF" w14:textId="6F82E73C" w:rsidR="0004659D" w:rsidRDefault="00C0135E">
      <w:pPr>
        <w:rPr>
          <w:b/>
        </w:rPr>
      </w:pPr>
      <w:r>
        <w:lastRenderedPageBreak/>
        <w:t>Fig. 2-13</w:t>
      </w:r>
      <w:r w:rsidR="005D2428">
        <w:rPr>
          <w:noProof/>
        </w:rPr>
        <w:drawing>
          <wp:inline distT="0" distB="0" distL="0" distR="0" wp14:anchorId="5192DEA7" wp14:editId="6032327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sidR="0004659D">
        <w:rPr>
          <w:b/>
        </w:rPr>
        <w:br w:type="page"/>
      </w:r>
    </w:p>
    <w:p w14:paraId="5DFCD21A" w14:textId="73537C4E" w:rsidR="0004659D" w:rsidRPr="002D149A" w:rsidRDefault="0004659D" w:rsidP="00F10D2C">
      <w:pPr>
        <w:spacing w:line="480" w:lineRule="auto"/>
        <w:rPr>
          <w:b/>
        </w:rPr>
      </w:pPr>
      <w:r w:rsidRPr="002D149A">
        <w:rPr>
          <w:b/>
        </w:rPr>
        <w:lastRenderedPageBreak/>
        <w:t>Fig. 2-</w:t>
      </w:r>
      <w:r>
        <w:rPr>
          <w:b/>
        </w:rPr>
        <w:t xml:space="preserve"> </w:t>
      </w:r>
      <w:r w:rsidR="00C0135E">
        <w:rPr>
          <w:b/>
        </w:rPr>
        <w:t>14</w:t>
      </w:r>
      <w:r>
        <w:rPr>
          <w:b/>
        </w:rPr>
        <w:t>. The majority of Groucho recruitment sites in the early embryo additionally bind Dorsal, Dichaete, and, less frequently, multiple additional factors.</w:t>
      </w:r>
      <w:r w:rsidR="00F10D2C">
        <w:rPr>
          <w:b/>
        </w:rPr>
        <w:t xml:space="preserve"> </w:t>
      </w:r>
      <w:r w:rsidR="00F10D2C">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7F972C00" w:rsidR="0004659D" w:rsidRDefault="0004659D" w:rsidP="0004659D">
      <w:r>
        <w:lastRenderedPageBreak/>
        <w:t>Fig. 2-</w:t>
      </w:r>
      <w:r w:rsidR="00C0135E">
        <w:t>14</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4B1B10EE" w:rsidR="005D2428" w:rsidRDefault="005D2428" w:rsidP="005D2428">
      <w:pPr>
        <w:spacing w:line="480" w:lineRule="auto"/>
      </w:pPr>
      <w:r>
        <w:rPr>
          <w:b/>
        </w:rPr>
        <w:lastRenderedPageBreak/>
        <w:t>Figure 2-1</w:t>
      </w:r>
      <w:r w:rsidR="006B25C3">
        <w:rPr>
          <w:b/>
        </w:rPr>
        <w:t>5</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hr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Knirps (kni), despite the two proteins’ physical interaction {Payankaulam, 2009 #2955}. </w:t>
      </w:r>
      <w:r w:rsidRPr="00C4631D">
        <w:rPr>
          <w:b/>
        </w:rPr>
        <w:t>(bottom)</w:t>
      </w:r>
      <w:r>
        <w:t xml:space="preserve"> Groucho colocalizes with the majority of dorsal-ventral patterning genes assayed during the second timepoint, the most significant exception being snail, which Groucho preferentially colocalizes with during the initial time window. </w:t>
      </w:r>
    </w:p>
    <w:p w14:paraId="004840E2" w14:textId="1465485E" w:rsidR="005D2428" w:rsidRDefault="005D2428" w:rsidP="005D2428">
      <w:pPr>
        <w:pStyle w:val="BodyText"/>
        <w:spacing w:line="480" w:lineRule="auto"/>
      </w:pPr>
      <w:r>
        <w:lastRenderedPageBreak/>
        <w:t>Fig. 2-1</w:t>
      </w:r>
      <w:r w:rsidR="006B25C3">
        <w:t>5</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2E509787" w:rsidR="00A373F3" w:rsidRDefault="006B25C3" w:rsidP="00A373F3">
      <w:pPr>
        <w:pStyle w:val="BodyText"/>
        <w:spacing w:line="480" w:lineRule="auto"/>
      </w:pPr>
      <w:r>
        <w:rPr>
          <w:b/>
        </w:rPr>
        <w:lastRenderedPageBreak/>
        <w:t>Figure 2-16</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600FDAC5" w:rsidR="00A373F3" w:rsidRDefault="00DE3BBE" w:rsidP="00DE3BBE">
      <w:pPr>
        <w:pStyle w:val="BodyText"/>
        <w:spacing w:line="480" w:lineRule="auto"/>
        <w:outlineLvl w:val="0"/>
      </w:pPr>
      <w:r>
        <w:br w:type="page"/>
      </w:r>
      <w:r w:rsidR="006B25C3">
        <w:lastRenderedPageBreak/>
        <w:t>Fig. 2-16</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0CE1D338" w:rsidR="00A373F3" w:rsidRDefault="006B25C3" w:rsidP="00A373F3">
      <w:pPr>
        <w:pStyle w:val="BodyText"/>
        <w:spacing w:line="480" w:lineRule="auto"/>
      </w:pPr>
      <w:r>
        <w:rPr>
          <w:b/>
        </w:rPr>
        <w:lastRenderedPageBreak/>
        <w:t>Figure 2-17</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5885D6BE" w:rsidR="00A373F3" w:rsidRDefault="00DE3BBE" w:rsidP="00DE3BBE">
      <w:pPr>
        <w:pStyle w:val="BodyText"/>
        <w:spacing w:line="480" w:lineRule="auto"/>
        <w:outlineLvl w:val="0"/>
      </w:pPr>
      <w:r>
        <w:br w:type="page"/>
      </w:r>
      <w:r w:rsidR="006B25C3">
        <w:lastRenderedPageBreak/>
        <w:t>Fig. 2-17</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15AC1D3E" w:rsidR="00A373F3" w:rsidRPr="00FF7983" w:rsidRDefault="006B25C3" w:rsidP="00A373F3">
      <w:pPr>
        <w:pStyle w:val="BodyText"/>
        <w:spacing w:line="480" w:lineRule="auto"/>
      </w:pPr>
      <w:r>
        <w:rPr>
          <w:b/>
        </w:rPr>
        <w:lastRenderedPageBreak/>
        <w:t>Figure 2-18</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727FCC2C" w:rsidR="00A373F3" w:rsidRDefault="00DE3BBE" w:rsidP="00DE3BBE">
      <w:pPr>
        <w:pStyle w:val="BodyText"/>
        <w:spacing w:line="480" w:lineRule="auto"/>
        <w:outlineLvl w:val="0"/>
      </w:pPr>
      <w:r>
        <w:br w:type="page"/>
      </w:r>
      <w:r w:rsidR="006B25C3">
        <w:lastRenderedPageBreak/>
        <w:t>Fig. 2-18</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4C035AA3" w:rsidR="00C94186" w:rsidRDefault="00FB3A61" w:rsidP="00C94186">
      <w:pPr>
        <w:pStyle w:val="BodyText"/>
        <w:spacing w:line="480" w:lineRule="auto"/>
      </w:pPr>
      <w:r>
        <w:rPr>
          <w:b/>
        </w:rPr>
        <w:lastRenderedPageBreak/>
        <w:t>Figure 2</w:t>
      </w:r>
      <w:r w:rsidR="006B25C3">
        <w:rPr>
          <w:b/>
        </w:rPr>
        <w:t>-19</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4F6AF1EB" w:rsidR="00C94186" w:rsidRDefault="00DE3BBE" w:rsidP="00DE3BBE">
      <w:pPr>
        <w:pStyle w:val="BodyText"/>
        <w:spacing w:line="480" w:lineRule="auto"/>
        <w:outlineLvl w:val="0"/>
      </w:pPr>
      <w:r>
        <w:br w:type="page"/>
      </w:r>
      <w:r w:rsidR="006B25C3">
        <w:lastRenderedPageBreak/>
        <w:t>Fig. 2-19</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ECC8E92" w:rsidR="00C612CF" w:rsidRPr="00B52DEC" w:rsidRDefault="006B25C3" w:rsidP="00C612CF">
      <w:pPr>
        <w:pStyle w:val="BodyText"/>
        <w:spacing w:line="480" w:lineRule="auto"/>
      </w:pPr>
      <w:r>
        <w:rPr>
          <w:b/>
        </w:rPr>
        <w:lastRenderedPageBreak/>
        <w:t>Figure 2-20</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25853454" w:rsidR="00C612CF" w:rsidRDefault="00DE3BBE" w:rsidP="00DE3BBE">
      <w:pPr>
        <w:pStyle w:val="BodyText"/>
        <w:spacing w:line="480" w:lineRule="auto"/>
        <w:outlineLvl w:val="0"/>
      </w:pPr>
      <w:r>
        <w:br w:type="page"/>
      </w:r>
      <w:r w:rsidR="006B25C3">
        <w:lastRenderedPageBreak/>
        <w:t>Fig. 2-20</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6B25C3">
        <w:lastRenderedPageBreak/>
        <w:t>Fig. 2-20</w:t>
      </w:r>
      <w:r w:rsidR="00F45B95">
        <w:t xml:space="preserve">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5048B761" w:rsidR="003A3ABD" w:rsidRDefault="006B25C3" w:rsidP="003A3ABD">
      <w:pPr>
        <w:pStyle w:val="BodyText"/>
        <w:spacing w:line="480" w:lineRule="auto"/>
        <w:rPr>
          <w:b/>
        </w:rPr>
      </w:pPr>
      <w:r>
        <w:rPr>
          <w:b/>
        </w:rPr>
        <w:lastRenderedPageBreak/>
        <w:t>Figure 2-21</w:t>
      </w:r>
      <w:r w:rsidR="003A3ABD">
        <w:rPr>
          <w:b/>
        </w:rPr>
        <w:t xml:space="preserve">. Gro loss-of-function and Gro overexpression have opposite magnitude effects on a small percentage of all Groucho-effected genes. </w:t>
      </w:r>
    </w:p>
    <w:p w14:paraId="363F0CDA" w14:textId="4879D053" w:rsidR="003A3ABD" w:rsidRDefault="00DE3BBE" w:rsidP="00DE3BBE">
      <w:pPr>
        <w:pStyle w:val="BodyText"/>
        <w:spacing w:line="480" w:lineRule="auto"/>
        <w:outlineLvl w:val="0"/>
      </w:pPr>
      <w:r>
        <w:br w:type="page"/>
      </w:r>
      <w:r w:rsidR="006B25C3">
        <w:lastRenderedPageBreak/>
        <w:t>Fig. 2-21</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3B4CECDC" w:rsidR="00FB3A61" w:rsidRPr="003A3ABD" w:rsidRDefault="006B25C3" w:rsidP="00FB3A61">
      <w:pPr>
        <w:pStyle w:val="BodyText"/>
        <w:spacing w:line="480" w:lineRule="auto"/>
      </w:pPr>
      <w:r>
        <w:rPr>
          <w:b/>
        </w:rPr>
        <w:lastRenderedPageBreak/>
        <w:t>Figure 2-22</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33375D61" w:rsidR="00FB3A61" w:rsidRDefault="00DE3BBE" w:rsidP="00DE3BBE">
      <w:pPr>
        <w:pStyle w:val="BodyText"/>
        <w:spacing w:line="480" w:lineRule="auto"/>
        <w:outlineLvl w:val="0"/>
      </w:pPr>
      <w:r>
        <w:br w:type="page"/>
      </w:r>
      <w:r w:rsidR="006B25C3">
        <w:lastRenderedPageBreak/>
        <w:t>Fig. 2-22</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D73028" w14:textId="24856EAA" w:rsidR="006B25C3" w:rsidRDefault="006B25C3" w:rsidP="006B25C3">
      <w:pPr>
        <w:pStyle w:val="BodyText"/>
        <w:spacing w:line="480" w:lineRule="auto"/>
      </w:pPr>
      <w:r>
        <w:rPr>
          <w:b/>
        </w:rPr>
        <w:lastRenderedPageBreak/>
        <w:t>Figure 2-23</w:t>
      </w:r>
      <w:r>
        <w:rPr>
          <w:b/>
        </w:rPr>
        <w:t xml:space="preserve"> Groucho-regulated genes are significantly enriched for Groucho binding within introns.</w:t>
      </w:r>
      <w:r>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355F241B" w14:textId="670DFEC3" w:rsidR="006B25C3" w:rsidRDefault="006B25C3" w:rsidP="006B25C3">
      <w:pPr>
        <w:pStyle w:val="BodyText"/>
        <w:spacing w:line="480" w:lineRule="auto"/>
      </w:pPr>
      <w:r>
        <w:br w:type="page"/>
      </w:r>
      <w:r>
        <w:lastRenderedPageBreak/>
        <w:t>Fig. 2-23</w:t>
      </w:r>
      <w:r>
        <w:rPr>
          <w:noProof/>
        </w:rPr>
        <w:drawing>
          <wp:inline distT="0" distB="0" distL="0" distR="0" wp14:anchorId="1DF8F4C8" wp14:editId="72D34F61">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B7EDC14" w14:textId="7E6BFA05" w:rsidR="006B25C3" w:rsidRDefault="006B25C3" w:rsidP="006B25C3">
      <w:pPr>
        <w:spacing w:line="480" w:lineRule="auto"/>
      </w:pPr>
      <w:r>
        <w:rPr>
          <w:b/>
        </w:rPr>
        <w:lastRenderedPageBreak/>
        <w:t>Figure 2-24</w:t>
      </w:r>
      <w:r>
        <w:rPr>
          <w:b/>
        </w:rPr>
        <w:t xml:space="preserve">.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1CCD9D2C" w14:textId="76BDDFFA" w:rsidR="006B25C3" w:rsidRDefault="006B25C3" w:rsidP="006B25C3">
      <w:pPr>
        <w:pStyle w:val="BodyText"/>
        <w:spacing w:line="480" w:lineRule="auto"/>
      </w:pPr>
      <w:r>
        <w:lastRenderedPageBreak/>
        <w:t>Fig. 2-24</w:t>
      </w:r>
      <w:r>
        <w:rPr>
          <w:noProof/>
        </w:rPr>
        <w:drawing>
          <wp:inline distT="0" distB="0" distL="0" distR="0" wp14:anchorId="1713536A" wp14:editId="5B73C659">
            <wp:extent cx="5937250" cy="7687310"/>
            <wp:effectExtent l="0" t="0" r="0" b="0"/>
            <wp:docPr id="12" name="Picture 12"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p>
    <w:p w14:paraId="5AA50463" w14:textId="2523D5CE" w:rsidR="00FB3A61" w:rsidRPr="006B25C3" w:rsidRDefault="006B25C3" w:rsidP="00FB3A61">
      <w:pPr>
        <w:pStyle w:val="BodyText"/>
        <w:spacing w:line="480" w:lineRule="auto"/>
      </w:pPr>
      <w:r>
        <w:rPr>
          <w:b/>
        </w:rPr>
        <w:lastRenderedPageBreak/>
        <w:t>Figure 2-25</w:t>
      </w:r>
      <w:r w:rsidR="00FB3A61">
        <w:rPr>
          <w:b/>
        </w:rPr>
        <w:t>. Groucho-regulated genes are enriched for developmentally-regulated transcription factors.</w:t>
      </w:r>
      <w:r>
        <w:rPr>
          <w:b/>
        </w:rPr>
        <w:t xml:space="preserve"> </w:t>
      </w:r>
      <w:r>
        <w:t xml:space="preserve">The most significantly enriched gene ontology groups of high-confidence Groucho target genes are uniformly related to </w:t>
      </w:r>
      <w:r w:rsidR="00F10D2C">
        <w:t>developmental regulation, confirming Groucho’s role</w:t>
      </w:r>
      <w:r>
        <w:t xml:space="preserve"> </w:t>
      </w:r>
      <w:r w:rsidR="00F10D2C">
        <w:t>as a high-level regulatory node in the establishment of tissue fate during development.</w:t>
      </w:r>
    </w:p>
    <w:p w14:paraId="0D85A203" w14:textId="31BDC151" w:rsidR="00FB3A61" w:rsidRDefault="00DE3BBE" w:rsidP="00DE3BBE">
      <w:pPr>
        <w:pStyle w:val="BodyText"/>
        <w:spacing w:line="480" w:lineRule="auto"/>
        <w:outlineLvl w:val="0"/>
      </w:pPr>
      <w:r>
        <w:br w:type="page"/>
      </w:r>
      <w:r w:rsidR="005D2428">
        <w:lastRenderedPageBreak/>
        <w:t>Fig. 2-2</w:t>
      </w:r>
      <w:r w:rsidR="006B25C3">
        <w:t>5</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68DE208" w14:textId="05D6D21F" w:rsidR="004B5921" w:rsidRDefault="004B5921" w:rsidP="00510B86">
      <w:pPr>
        <w:pStyle w:val="BodyText"/>
        <w:spacing w:line="480" w:lineRule="auto"/>
      </w:pPr>
      <w:r>
        <w:rPr>
          <w:b/>
        </w:rPr>
        <w:lastRenderedPageBreak/>
        <w:t>Fig</w:t>
      </w:r>
      <w:r w:rsidR="005D2428">
        <w:rPr>
          <w:b/>
        </w:rPr>
        <w:t>u</w:t>
      </w:r>
      <w:r w:rsidR="006B25C3">
        <w:rPr>
          <w:b/>
        </w:rPr>
        <w:t>re 2-26</w:t>
      </w:r>
      <w:r>
        <w:rPr>
          <w:b/>
        </w:rPr>
        <w:t>. Groucho regulated genes are enriched for stalled PolII.</w:t>
      </w:r>
      <w:r w:rsidR="005E0AE7">
        <w:rPr>
          <w:b/>
        </w:rPr>
        <w:t xml:space="preserve"> </w:t>
      </w:r>
      <w:r w:rsidR="005E0AE7">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sidR="005E0AE7">
        <w:rPr>
          <w:i/>
        </w:rPr>
        <w:t xml:space="preserve">p-value </w:t>
      </w:r>
      <w:r w:rsidR="005E0AE7">
        <w:t>&lt; 0.01, Fisher’s Exact Test).</w:t>
      </w:r>
    </w:p>
    <w:p w14:paraId="3B895F3C" w14:textId="5E38757B" w:rsidR="00F45B95" w:rsidRDefault="00DE3BBE" w:rsidP="00510B86">
      <w:pPr>
        <w:pStyle w:val="BodyText"/>
        <w:spacing w:line="480" w:lineRule="auto"/>
      </w:pPr>
      <w:r>
        <w:br w:type="page"/>
      </w:r>
      <w:r w:rsidR="00F45B95">
        <w:lastRenderedPageBreak/>
        <w:t xml:space="preserve">Fig. </w:t>
      </w:r>
      <w:r w:rsidR="006B25C3">
        <w:t>2-26</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0A3BD027" w:rsidR="00DE3FE3" w:rsidRDefault="00DE3FE3" w:rsidP="00B60A21">
      <w:pPr>
        <w:spacing w:line="480" w:lineRule="auto"/>
      </w:pPr>
      <w:r>
        <w:rPr>
          <w:b/>
        </w:rPr>
        <w:lastRenderedPageBreak/>
        <w:t>Fig</w:t>
      </w:r>
      <w:r w:rsidR="005D2428">
        <w:rPr>
          <w:b/>
        </w:rPr>
        <w:t>ure</w:t>
      </w:r>
      <w:r>
        <w:rPr>
          <w:b/>
        </w:rPr>
        <w:t xml:space="preserve"> 2-</w:t>
      </w:r>
      <w:r w:rsidR="005D2428">
        <w:rPr>
          <w:b/>
        </w:rPr>
        <w:t>27</w:t>
      </w:r>
      <w:r>
        <w:rPr>
          <w:b/>
        </w:rPr>
        <w:t>.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dCBP ChIP-seq data sets generated from 2 – 4 hour old embryos from embryos with normal (dCBP wt) or Dorsal-deficient embryos (dCBP gd7) </w:t>
      </w:r>
      <w:r w:rsidR="00B60A21">
        <w:t>{Holmqvist, 2012 #3115}</w:t>
      </w:r>
      <w:r w:rsidR="00B60A21">
        <w:t>. dCBP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colocalization with Dorsal-dependent dCBP is low during the first timepoint, while colocalization with Dorsal-independent dCBP binding is quite high (an &gt; 8-fold enrichment)</w:t>
      </w:r>
      <w:r w:rsidR="002D149A">
        <w:t>.</w:t>
      </w:r>
      <w:r w:rsidR="00B5324F">
        <w:t xml:space="preserve"> </w:t>
      </w:r>
      <w:r>
        <w:br w:type="page"/>
      </w:r>
    </w:p>
    <w:p w14:paraId="3CEA91D5" w14:textId="33AD2C0E" w:rsidR="00DE3FE3" w:rsidRDefault="00DE3FE3" w:rsidP="00510B86">
      <w:pPr>
        <w:pStyle w:val="BodyText"/>
        <w:spacing w:line="480" w:lineRule="auto"/>
      </w:pPr>
      <w:r>
        <w:lastRenderedPageBreak/>
        <w:t>Fig. 2-</w:t>
      </w:r>
      <w:r w:rsidR="005D2428">
        <w:t>27</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0A3F5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15B2C0" w14:textId="77777777" w:rsidR="00AD06A1" w:rsidRDefault="00AD06A1">
      <w:pPr>
        <w:spacing w:after="0"/>
      </w:pPr>
      <w:r>
        <w:separator/>
      </w:r>
    </w:p>
  </w:endnote>
  <w:endnote w:type="continuationSeparator" w:id="0">
    <w:p w14:paraId="5E6F4425" w14:textId="77777777" w:rsidR="00AD06A1" w:rsidRDefault="00AD06A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A5F85A" w14:textId="77777777" w:rsidR="00AD06A1" w:rsidRDefault="00AD06A1">
      <w:r>
        <w:separator/>
      </w:r>
    </w:p>
  </w:footnote>
  <w:footnote w:type="continuationSeparator" w:id="0">
    <w:p w14:paraId="783E8740" w14:textId="77777777" w:rsidR="00AD06A1" w:rsidRDefault="00AD06A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400E"/>
    <w:rsid w:val="0027114A"/>
    <w:rsid w:val="00285A9D"/>
    <w:rsid w:val="002D149A"/>
    <w:rsid w:val="002E569D"/>
    <w:rsid w:val="002E5D7F"/>
    <w:rsid w:val="003339D9"/>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6FB"/>
    <w:rsid w:val="006B25C3"/>
    <w:rsid w:val="006B77BB"/>
    <w:rsid w:val="00702B57"/>
    <w:rsid w:val="007173DF"/>
    <w:rsid w:val="00750F08"/>
    <w:rsid w:val="00784D58"/>
    <w:rsid w:val="007E47E4"/>
    <w:rsid w:val="0083254A"/>
    <w:rsid w:val="008357EC"/>
    <w:rsid w:val="008756D1"/>
    <w:rsid w:val="0087695F"/>
    <w:rsid w:val="008829C2"/>
    <w:rsid w:val="008D3347"/>
    <w:rsid w:val="008D6863"/>
    <w:rsid w:val="008F3A42"/>
    <w:rsid w:val="0093029A"/>
    <w:rsid w:val="00946FAF"/>
    <w:rsid w:val="00947235"/>
    <w:rsid w:val="009B2AFA"/>
    <w:rsid w:val="009C3B78"/>
    <w:rsid w:val="009D2758"/>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C0135E"/>
    <w:rsid w:val="00C12DBD"/>
    <w:rsid w:val="00C36279"/>
    <w:rsid w:val="00C4631D"/>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789B"/>
    <w:rsid w:val="00E22145"/>
    <w:rsid w:val="00E315A3"/>
    <w:rsid w:val="00E54A2F"/>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216</TotalTime>
  <Pages>55</Pages>
  <Words>3003</Words>
  <Characters>17122</Characters>
  <Application>Microsoft Macintosh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71</cp:revision>
  <dcterms:created xsi:type="dcterms:W3CDTF">2015-08-21T22:25:00Z</dcterms:created>
  <dcterms:modified xsi:type="dcterms:W3CDTF">2015-11-07T08:09:00Z</dcterms:modified>
</cp:coreProperties>
</file>